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6A" w:rsidRPr="00234118" w:rsidRDefault="00A07A5E" w:rsidP="00234118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 по ОМС и</w:t>
      </w:r>
      <w:r w:rsidR="0095639C" w:rsidRPr="00234118">
        <w:rPr>
          <w:rFonts w:ascii="Times New Roman" w:hAnsi="Times New Roman" w:cs="Times New Roman"/>
          <w:b/>
          <w:sz w:val="28"/>
          <w:szCs w:val="28"/>
        </w:rPr>
        <w:t xml:space="preserve"> претензионная работа ТФОМС: эксперты обсудили актуальные вопросы в сфере ОМС</w:t>
      </w:r>
    </w:p>
    <w:p w:rsidR="00C2396A" w:rsidRPr="00234118" w:rsidRDefault="007E0186" w:rsidP="002341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118">
        <w:rPr>
          <w:rFonts w:ascii="Times New Roman" w:hAnsi="Times New Roman" w:cs="Times New Roman"/>
          <w:sz w:val="28"/>
          <w:szCs w:val="28"/>
        </w:rPr>
        <w:t xml:space="preserve">На очередном заседании Координационного совета по организации защиты прав застрахованных лиц специалисты обсудили актуальные вопросы </w:t>
      </w:r>
      <w:r w:rsidR="00C2396A" w:rsidRPr="00234118">
        <w:rPr>
          <w:rFonts w:ascii="Times New Roman" w:hAnsi="Times New Roman" w:cs="Times New Roman"/>
          <w:sz w:val="28"/>
          <w:szCs w:val="28"/>
        </w:rPr>
        <w:t xml:space="preserve">оказания медицинской помощи с использованием вспомогательных репродуктивных технологий, а также </w:t>
      </w:r>
      <w:r w:rsidR="009665AA">
        <w:rPr>
          <w:rFonts w:ascii="Times New Roman" w:hAnsi="Times New Roman" w:cs="Times New Roman"/>
          <w:sz w:val="28"/>
          <w:szCs w:val="28"/>
        </w:rPr>
        <w:t>особенности</w:t>
      </w:r>
      <w:r w:rsidR="00C2396A" w:rsidRPr="00234118">
        <w:rPr>
          <w:rFonts w:ascii="Times New Roman" w:hAnsi="Times New Roman" w:cs="Times New Roman"/>
          <w:sz w:val="28"/>
          <w:szCs w:val="28"/>
        </w:rPr>
        <w:t xml:space="preserve"> работы ТФОМС Челябинской области по рассмотрению претензий медицинских организаций к страховым медицинским организациям по результатам экспертных мероприятий.</w:t>
      </w:r>
    </w:p>
    <w:p w:rsidR="00D543A7" w:rsidRPr="00234118" w:rsidRDefault="0095639C" w:rsidP="0023411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экспертно-аналитического отдела Елена </w:t>
      </w:r>
      <w:proofErr w:type="spellStart"/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Недочукова</w:t>
      </w:r>
      <w:proofErr w:type="spellEnd"/>
      <w:r w:rsidR="00D543A7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докладе напомнила, что </w:t>
      </w:r>
      <w:r w:rsidR="00D543A7" w:rsidRPr="002341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Указом Президента России от 7 мая 2018 года №204 «О национальных целях и стратегических задачах развития Российской Федерации на период до 2024 года» предусмотрен</w:t>
      </w:r>
      <w:r w:rsidR="00D543A7" w:rsidRPr="00234118">
        <w:rPr>
          <w:rFonts w:ascii="Times New Roman" w:eastAsia="Times New Roman" w:hAnsi="Times New Roman" w:cs="Times New Roman"/>
          <w:bCs/>
          <w:sz w:val="28"/>
          <w:szCs w:val="28"/>
        </w:rPr>
        <w:t xml:space="preserve"> федеральный проект «Финансовая поддержка семей при рождении детей». Одним из направлений данного проекта является проведение циклов ЭКО семьям, страдающим бесплодием, за счет средств базовой программы ОМС.</w:t>
      </w:r>
    </w:p>
    <w:p w:rsidR="00C2396A" w:rsidRPr="00234118" w:rsidRDefault="00F2203A" w:rsidP="0023411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Челябинской области ежегодно увеличивается количество медицинских организаций, оказывающих медицинскую помощь с использованием вспомогательных репродуктивных технологий (ВРТ)</w:t>
      </w:r>
      <w:r w:rsidR="006572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за счет роста доли частных медицинских центров.</w:t>
      </w:r>
      <w:r w:rsidR="00F07701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2016 году данный вид помощи оказывали 6 медицинских организаций, из которых 4 – частные клиники, то в 2020 году их количество составило 11</w:t>
      </w:r>
      <w:r w:rsidR="0059421A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8 частных мед</w:t>
      </w:r>
      <w:proofErr w:type="gramStart"/>
      <w:r w:rsidR="0059421A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9421A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421A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59421A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ентров.</w:t>
      </w:r>
    </w:p>
    <w:p w:rsidR="0059421A" w:rsidRPr="00234118" w:rsidRDefault="00FA72F8" w:rsidP="0023411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за счет средств ОМС проводится порядка 2 тыс. процедур ЭКО, причем с 201</w:t>
      </w:r>
      <w:r w:rsidR="000207BB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программы обязательного медицинского страхования стала проводиться и процедура </w:t>
      </w:r>
      <w:proofErr w:type="spellStart"/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криопереноса</w:t>
      </w:r>
      <w:proofErr w:type="spellEnd"/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оптимизированная технология, которая предполагает введение в матку женщины ранее замороженных эмбрионов, полученных в предыдущем </w:t>
      </w:r>
      <w:proofErr w:type="spellStart"/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ЭКО-цикле</w:t>
      </w:r>
      <w:proofErr w:type="spellEnd"/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207BB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2019</w:t>
      </w:r>
      <w:r w:rsidR="00B82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07BB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- 6 месяцев 2020 года было проведено 666 </w:t>
      </w:r>
      <w:proofErr w:type="spellStart"/>
      <w:r w:rsidR="000207BB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криопереносов</w:t>
      </w:r>
      <w:proofErr w:type="spellEnd"/>
      <w:r w:rsidR="000207BB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07BB" w:rsidRPr="00234118" w:rsidRDefault="000207BB" w:rsidP="0023411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отметила Елена </w:t>
      </w:r>
      <w:proofErr w:type="spellStart"/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Недочукова</w:t>
      </w:r>
      <w:proofErr w:type="spellEnd"/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фактическое финансирование медицинской помощи с использованием ВРТ </w:t>
      </w:r>
      <w:r w:rsidR="00EB4315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увеличивается пропорционально объемам медицинской помощи. К примеру, в</w:t>
      </w:r>
      <w:r w:rsidR="004C6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2016 году оно составило 199 млн. рублей, а в</w:t>
      </w:r>
      <w:r w:rsidR="00EB4315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году на эти цели было направлено более 260 млн. рублей. Стоимость одного случая провед</w:t>
      </w:r>
      <w:r w:rsidR="0099027C">
        <w:rPr>
          <w:rFonts w:ascii="Times New Roman" w:hAnsi="Times New Roman" w:cs="Times New Roman"/>
          <w:sz w:val="28"/>
          <w:szCs w:val="28"/>
          <w:shd w:val="clear" w:color="auto" w:fill="FFFFFF"/>
        </w:rPr>
        <w:t>ения ЭКО в 2020 году варьирует</w:t>
      </w:r>
      <w:r w:rsidR="00EB4315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132 до 146 тыс. рублей в зависимости от </w:t>
      </w:r>
      <w:proofErr w:type="spellStart"/>
      <w:r w:rsidR="00025C10">
        <w:rPr>
          <w:rFonts w:ascii="Times New Roman" w:hAnsi="Times New Roman" w:cs="Times New Roman"/>
          <w:sz w:val="28"/>
          <w:szCs w:val="28"/>
          <w:shd w:val="clear" w:color="auto" w:fill="FFFFFF"/>
        </w:rPr>
        <w:t>криоконсервация</w:t>
      </w:r>
      <w:proofErr w:type="spellEnd"/>
      <w:r w:rsidR="00EB4315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6B5" w:rsidRPr="00D02E17" w:rsidRDefault="00E0493E" w:rsidP="0023411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Немаловажным фактором</w:t>
      </w:r>
      <w:r w:rsidR="004F66B5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ЭКО является его </w:t>
      </w:r>
      <w:r w:rsidR="0099027C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результативность, то есть рождение ребенка</w:t>
      </w:r>
      <w:r w:rsidR="004F66B5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. На сегодняшний день выделяется два критерия его эффективности: беременность и роды. Согласно статистическим данным, беременностью заканчивается в среднем около 30% всех случаев ЭКО, родами – 20-23% случаев.</w:t>
      </w:r>
    </w:p>
    <w:p w:rsidR="00AF281A" w:rsidRPr="00234118" w:rsidRDefault="00AF281A" w:rsidP="0023411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Медицинская помощь с использованием ВРТ оказывается женщинам разных </w:t>
      </w:r>
      <w:r w:rsidR="00D02E17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возрастных групп, пр</w:t>
      </w: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этом </w:t>
      </w:r>
      <w:r w:rsidR="00D02E17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женщин в возрасте старше 35 лет составляет около 40%</w:t>
      </w:r>
      <w:r w:rsidR="00B23279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35BC" w:rsidRPr="00234118" w:rsidRDefault="00E835BC" w:rsidP="0023411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Председатель Координационного Совета, первый заместитель губернатора Челябинской области Ирина </w:t>
      </w:r>
      <w:proofErr w:type="spellStart"/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Гехт</w:t>
      </w:r>
      <w:proofErr w:type="spellEnd"/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поставила задачу по повышению эффективности проведения процедур ЭКО. Одним из решений в данном направлении может быть </w:t>
      </w:r>
      <w:r w:rsidR="00D20BFC">
        <w:rPr>
          <w:rFonts w:ascii="Times New Roman" w:hAnsi="Times New Roman" w:cs="Times New Roman"/>
          <w:sz w:val="28"/>
          <w:szCs w:val="28"/>
          <w:shd w:val="clear" w:color="auto" w:fill="FFFFFF"/>
        </w:rPr>
        <w:t>уточнение критериев</w:t>
      </w: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</w:t>
      </w:r>
      <w:r w:rsidR="00D20BF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женщин на данную процедуру, в частности, </w:t>
      </w:r>
      <w:r w:rsidR="00D20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="00D20B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семейных пар, имеющих хорошую перспективу стать родителями, в том числе</w:t>
      </w: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0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наличии </w:t>
      </w:r>
      <w:r w:rsidR="00FE1E74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высокого</w:t>
      </w:r>
      <w:r w:rsidR="00D20B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овариального резерва (запаса</w:t>
      </w: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яйцеклеток)</w:t>
      </w:r>
      <w:r w:rsidR="00FE1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женщин</w:t>
      </w: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35BC" w:rsidRPr="00234118" w:rsidRDefault="009A114B" w:rsidP="0023411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</w:t>
      </w:r>
      <w:r w:rsidR="004C6A95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вопросов ЭКО</w:t>
      </w: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члены Совета обсудили особенности р</w:t>
      </w:r>
      <w:r w:rsidR="005D16A9">
        <w:rPr>
          <w:rFonts w:ascii="Times New Roman" w:hAnsi="Times New Roman" w:cs="Times New Roman"/>
          <w:sz w:val="28"/>
          <w:szCs w:val="28"/>
          <w:shd w:val="clear" w:color="auto" w:fill="FFFFFF"/>
        </w:rPr>
        <w:t>аботы ТФОМС Челябинской области по рассмотрению</w:t>
      </w:r>
      <w:r w:rsidR="00BE7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претензий медицинских организаций.</w:t>
      </w:r>
    </w:p>
    <w:p w:rsidR="003933A7" w:rsidRPr="00234118" w:rsidRDefault="009A114B" w:rsidP="0023411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Елена </w:t>
      </w:r>
      <w:proofErr w:type="spellStart"/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Недочукова</w:t>
      </w:r>
      <w:proofErr w:type="spellEnd"/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напомнила, что экспертная деятельность </w:t>
      </w:r>
      <w:r w:rsidR="00EB169B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сфере ОМС направлена на обеспечение и защиту прав застрахованных граждан на получение доступной и качественной медицинской помощи. </w:t>
      </w:r>
      <w:r w:rsidR="003933A7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 оказания медицинской помощи контролируют врачи-эксперты страховых компаний</w:t>
      </w:r>
      <w:r w:rsidR="004C6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путем проведения экспертного контроля</w:t>
      </w:r>
      <w:r w:rsidR="003933A7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 этом </w:t>
      </w:r>
      <w:r w:rsidR="003933A7" w:rsidRPr="002341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медицинская организация вправе обжаловать</w:t>
      </w:r>
      <w:r w:rsidR="003933A7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заключение страховой компании при наличии разногласий путем направления </w:t>
      </w:r>
      <w:r w:rsidR="003933A7" w:rsidRPr="002341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претензии</w:t>
      </w:r>
      <w:r w:rsidR="003933A7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территориальный фонд ОМС. В свою очередь ТФОМС</w:t>
      </w:r>
      <w:r w:rsidR="003933A7" w:rsidRPr="002341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933A7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рассматривает поступившие от медицинской организации материалы и организует проведение </w:t>
      </w:r>
      <w:r w:rsidR="003933A7" w:rsidRPr="002341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повторных </w:t>
      </w:r>
      <w:r w:rsidR="00A308AF" w:rsidRPr="002341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экспертиз</w:t>
      </w:r>
      <w:r w:rsidR="003933A7" w:rsidRPr="002341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медицинской помощи</w:t>
      </w:r>
      <w:r w:rsidR="003933A7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0381D" w:rsidRPr="00234118" w:rsidRDefault="001751D5" w:rsidP="0023411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В 2019 году всего в фонд поступило 419 претензий к работе страховых компаний, что ниже уровня 2018 года</w:t>
      </w:r>
      <w:r w:rsidR="0050381D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27%.</w:t>
      </w:r>
      <w:r w:rsidR="004C6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381D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Наибольшее количество претензий зарегистрировано в отношении крупнейших компаний – «</w:t>
      </w:r>
      <w:proofErr w:type="spellStart"/>
      <w:r w:rsidR="0050381D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Альфастрахование-ОМС</w:t>
      </w:r>
      <w:proofErr w:type="spellEnd"/>
      <w:r w:rsidR="0050381D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C6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«Астра-Металл»</w:t>
      </w:r>
      <w:r w:rsidR="0050381D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: 45%</w:t>
      </w:r>
      <w:r w:rsidR="004C6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C6A95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31%</w:t>
      </w:r>
      <w:r w:rsidR="0050381D"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соответственно.</w:t>
      </w:r>
    </w:p>
    <w:p w:rsidR="0050381D" w:rsidRPr="00234118" w:rsidRDefault="0050381D" w:rsidP="0023411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Среди медицинских организаций абсолютным лидером в оспаривании результатов проверок страховых компаний является ГКБ №1 г. Челябинска</w:t>
      </w:r>
      <w:r w:rsidR="001A3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1A33AE" w:rsidRPr="0023411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Челябинской областной клинический центр онкологии и ядерной медицины</w:t>
      </w: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 в лидерах</w:t>
      </w:r>
      <w:r w:rsidRPr="0023411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Дорожная клиническая больница</w:t>
      </w:r>
      <w:r w:rsidRPr="0050381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ОАО РЖД</w:t>
      </w:r>
      <w:r w:rsidRPr="0023411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Клиника</w:t>
      </w:r>
      <w:r w:rsidRPr="0050381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ЮУГМУ</w:t>
      </w:r>
      <w:r w:rsidR="00410A0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и</w:t>
      </w:r>
      <w:r w:rsidRPr="0023411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50381D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ГКБ № 8</w:t>
      </w:r>
      <w:r w:rsidRPr="0023411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г. Челябинска</w:t>
      </w:r>
      <w:r w:rsidR="00DB2B04" w:rsidRPr="0023411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5469A4" w:rsidRDefault="00926325" w:rsidP="0023411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118"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</w:t>
      </w:r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экспертно-аналитического отдела Елены </w:t>
      </w:r>
      <w:proofErr w:type="spellStart"/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Недочуковой</w:t>
      </w:r>
      <w:proofErr w:type="spellEnd"/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претензионная активность той или иной медицинской организации может быть связана с позицией главного врача и его заместителя по клинико-экспертной работе, характера нарушений, профилей медицинской помощи и т.д.</w:t>
      </w:r>
      <w:r w:rsidR="00070E7B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врачи</w:t>
      </w:r>
      <w:r w:rsidR="005469A4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-клиницисты</w:t>
      </w:r>
      <w:r w:rsidR="00070E7B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руководствуются </w:t>
      </w:r>
      <w:r w:rsidR="00546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личным профессиональным опытом при лечении конкретных пациентов, что приводит к разногласиям с врачами-экспертами страховых компаний, которые осуществляют контроль качества медицинской помощи.</w:t>
      </w:r>
    </w:p>
    <w:p w:rsidR="00070E7B" w:rsidRPr="00234118" w:rsidRDefault="00070E7B" w:rsidP="00234118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</w:t>
      </w:r>
      <w:r w:rsidR="00CD33E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экспертного контроля</w:t>
      </w:r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снижения </w:t>
      </w:r>
      <w:r w:rsidR="00CD33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спорных ситуаций</w:t>
      </w:r>
      <w:r w:rsidR="00010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выработки единых подходов</w:t>
      </w:r>
      <w:r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принято решение усилить взаимодействие между ТФОМС, Министерством здравоохранения, медицинскими организациями и страховыми компаниями. </w:t>
      </w:r>
      <w:r w:rsidR="0079740C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10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этим</w:t>
      </w:r>
      <w:r w:rsidR="001D5EB9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продуктивным</w:t>
      </w:r>
      <w:r w:rsidR="00670033" w:rsidRPr="0067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033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D5EB9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совместных конференций, </w:t>
      </w:r>
      <w:r w:rsidR="00BE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 </w:t>
      </w:r>
      <w:r w:rsidR="001D5EB9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семинаров с привлечением главных внештатных специалистов Минздрава Челябинской области, экспертов из других субъектов РФ, а также специалистов </w:t>
      </w:r>
      <w:r w:rsidR="00E50AAE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профильных научных медицинских </w:t>
      </w:r>
      <w:r w:rsidR="001D5EB9" w:rsidRPr="002341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центров.</w:t>
      </w:r>
    </w:p>
    <w:sectPr w:rsidR="00070E7B" w:rsidRPr="00234118" w:rsidSect="00D03D8D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186"/>
    <w:rsid w:val="000106EC"/>
    <w:rsid w:val="000207BB"/>
    <w:rsid w:val="0002566C"/>
    <w:rsid w:val="00025C10"/>
    <w:rsid w:val="000378DD"/>
    <w:rsid w:val="00070E7B"/>
    <w:rsid w:val="001751D5"/>
    <w:rsid w:val="001A33AE"/>
    <w:rsid w:val="001D5EB9"/>
    <w:rsid w:val="001E24B4"/>
    <w:rsid w:val="00234118"/>
    <w:rsid w:val="002B328E"/>
    <w:rsid w:val="003933A7"/>
    <w:rsid w:val="003F761D"/>
    <w:rsid w:val="00410A02"/>
    <w:rsid w:val="00481CF6"/>
    <w:rsid w:val="004C6A95"/>
    <w:rsid w:val="004F66B5"/>
    <w:rsid w:val="0050381D"/>
    <w:rsid w:val="005469A4"/>
    <w:rsid w:val="0059421A"/>
    <w:rsid w:val="005D16A9"/>
    <w:rsid w:val="006572B1"/>
    <w:rsid w:val="00670033"/>
    <w:rsid w:val="006F686D"/>
    <w:rsid w:val="007219CA"/>
    <w:rsid w:val="00751DB9"/>
    <w:rsid w:val="0079740C"/>
    <w:rsid w:val="007E0186"/>
    <w:rsid w:val="00870C54"/>
    <w:rsid w:val="00926325"/>
    <w:rsid w:val="0095639C"/>
    <w:rsid w:val="009665AA"/>
    <w:rsid w:val="0099027C"/>
    <w:rsid w:val="009A114B"/>
    <w:rsid w:val="009C50FA"/>
    <w:rsid w:val="009C548C"/>
    <w:rsid w:val="00A07A5E"/>
    <w:rsid w:val="00A308AF"/>
    <w:rsid w:val="00A52527"/>
    <w:rsid w:val="00A55906"/>
    <w:rsid w:val="00AC4853"/>
    <w:rsid w:val="00AF281A"/>
    <w:rsid w:val="00B23279"/>
    <w:rsid w:val="00B82D02"/>
    <w:rsid w:val="00BE4A9D"/>
    <w:rsid w:val="00BE7E85"/>
    <w:rsid w:val="00C1758D"/>
    <w:rsid w:val="00C2396A"/>
    <w:rsid w:val="00CD33E9"/>
    <w:rsid w:val="00CD42CA"/>
    <w:rsid w:val="00D02E17"/>
    <w:rsid w:val="00D03D8D"/>
    <w:rsid w:val="00D06821"/>
    <w:rsid w:val="00D20BFC"/>
    <w:rsid w:val="00D543A7"/>
    <w:rsid w:val="00DB2B04"/>
    <w:rsid w:val="00E0493E"/>
    <w:rsid w:val="00E50AAE"/>
    <w:rsid w:val="00E835BC"/>
    <w:rsid w:val="00EB169B"/>
    <w:rsid w:val="00EB4315"/>
    <w:rsid w:val="00F07701"/>
    <w:rsid w:val="00F2203A"/>
    <w:rsid w:val="00FA72F8"/>
    <w:rsid w:val="00FE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dakravchenko</dc:creator>
  <cp:keywords/>
  <dc:description/>
  <cp:lastModifiedBy>dakravchenko</cp:lastModifiedBy>
  <cp:revision>92</cp:revision>
  <dcterms:created xsi:type="dcterms:W3CDTF">2020-09-22T08:22:00Z</dcterms:created>
  <dcterms:modified xsi:type="dcterms:W3CDTF">2020-09-25T05:24:00Z</dcterms:modified>
</cp:coreProperties>
</file>