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38" w:rsidRPr="004D7632" w:rsidRDefault="00502438" w:rsidP="005024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632">
        <w:rPr>
          <w:rFonts w:ascii="Times New Roman" w:hAnsi="Times New Roman" w:cs="Times New Roman"/>
          <w:b/>
          <w:sz w:val="28"/>
          <w:szCs w:val="28"/>
        </w:rPr>
        <w:t>30.04.2020</w:t>
      </w:r>
    </w:p>
    <w:p w:rsidR="00502438" w:rsidRPr="004D7632" w:rsidRDefault="00502438" w:rsidP="005024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632">
        <w:rPr>
          <w:rFonts w:ascii="Times New Roman" w:hAnsi="Times New Roman" w:cs="Times New Roman"/>
          <w:b/>
          <w:sz w:val="28"/>
          <w:szCs w:val="28"/>
        </w:rPr>
        <w:t>Особое внимание здоровью детей-сирот</w:t>
      </w:r>
    </w:p>
    <w:p w:rsidR="00502438" w:rsidRPr="00A60CA4" w:rsidRDefault="00502438" w:rsidP="00502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апрельском заседании координационного совета были подведены итоги диспансеризации пребывающих в стационарных учреждениях детей-сирот и детей, находящихся в трудной жизненной ситуации, детей оставшихся без попечения родителей, в том числе усыновленных (удочеренных), принятых под опеку, в приемную или патронатную семью.</w:t>
      </w:r>
    </w:p>
    <w:p w:rsidR="00502438" w:rsidRDefault="00502438" w:rsidP="00502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 2020 года диспансеризацию прошли 2 720 таких детей. По итогам профилактических мероприятий наибольшую часть составили дети 2 и 3 групп здоровья – 30% и 44% соответственно.</w:t>
      </w:r>
    </w:p>
    <w:p w:rsidR="00502438" w:rsidRDefault="00502438" w:rsidP="00502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30% детей были осмотрены мобильными медицинскими бригадами. По результатам 1 этапа 5% детей-сирот были направлены на 2 этап диспансеризации.</w:t>
      </w:r>
    </w:p>
    <w:p w:rsidR="00502438" w:rsidRDefault="00502438" w:rsidP="00502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Страховым медицинским организациям поручено провести экспертный контроль по случаям диспансеризации детей-сирот и детей, оставшихся без попечения родителей, по итогам работы за 1 квартал 2020 года и направить предложения по улучшению качества оказания медицинской помощи в ТФОМС Челябинской области.</w:t>
      </w:r>
    </w:p>
    <w:p w:rsidR="00502438" w:rsidRDefault="00502438" w:rsidP="00502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вопросом повестки заседания стал анализ оказания медицинской помощи пациентам с пневмониями. Согласно проведенному анализу, количество случаев госпитализации пациентов с пневмонией в течение 2018-2019 годов в среднем составляет ежемесячно около 1650 случаев, ежеквартально – 4950 случаев. При этом сезонный фактор в большей степени влияет на заболеваемость детей, чем взрослых. Страховые медицинские организации должны обеспечить 100% проведение экспертных мероприятий по случаям летальных исходов пациентов с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436D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и пневмониями.</w:t>
      </w:r>
    </w:p>
    <w:sectPr w:rsidR="00502438" w:rsidSect="00A5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38"/>
    <w:rsid w:val="00502438"/>
    <w:rsid w:val="009C50FA"/>
    <w:rsid w:val="009C548C"/>
    <w:rsid w:val="00A55906"/>
    <w:rsid w:val="00AA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2</cp:revision>
  <dcterms:created xsi:type="dcterms:W3CDTF">2020-09-15T04:57:00Z</dcterms:created>
  <dcterms:modified xsi:type="dcterms:W3CDTF">2020-09-15T04:58:00Z</dcterms:modified>
</cp:coreProperties>
</file>