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F" w:rsidRDefault="00C25E70" w:rsidP="00C25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E70">
        <w:rPr>
          <w:rFonts w:ascii="Times New Roman" w:hAnsi="Times New Roman" w:cs="Times New Roman"/>
          <w:b/>
          <w:sz w:val="28"/>
          <w:szCs w:val="28"/>
        </w:rPr>
        <w:t xml:space="preserve">28.04.2022. </w:t>
      </w:r>
      <w:r w:rsidR="00193C4E">
        <w:rPr>
          <w:rFonts w:ascii="Times New Roman" w:hAnsi="Times New Roman" w:cs="Times New Roman"/>
          <w:b/>
          <w:sz w:val="28"/>
          <w:szCs w:val="28"/>
        </w:rPr>
        <w:t>Анализ о</w:t>
      </w:r>
      <w:r w:rsidRPr="00C25E70">
        <w:rPr>
          <w:rFonts w:ascii="Times New Roman" w:hAnsi="Times New Roman" w:cs="Times New Roman"/>
          <w:b/>
          <w:sz w:val="28"/>
          <w:szCs w:val="28"/>
        </w:rPr>
        <w:t>казани</w:t>
      </w:r>
      <w:r w:rsidR="00193C4E">
        <w:rPr>
          <w:rFonts w:ascii="Times New Roman" w:hAnsi="Times New Roman" w:cs="Times New Roman"/>
          <w:b/>
          <w:sz w:val="28"/>
          <w:szCs w:val="28"/>
        </w:rPr>
        <w:t>я</w:t>
      </w:r>
      <w:r w:rsidRPr="00C25E70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пациентам с онкологическими заболеваниями</w:t>
      </w:r>
      <w:r w:rsidR="00444C82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</w:p>
    <w:p w:rsidR="00193C4E" w:rsidRPr="00C25E70" w:rsidRDefault="00193C4E" w:rsidP="00C25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 xml:space="preserve">Федеральный проект </w:t>
      </w:r>
      <w:r>
        <w:rPr>
          <w:rFonts w:ascii="Times New Roman" w:hAnsi="Times New Roman" w:cs="Times New Roman"/>
          <w:sz w:val="28"/>
          <w:szCs w:val="28"/>
        </w:rPr>
        <w:t>«Борьба</w:t>
      </w:r>
      <w:r w:rsidRPr="00C25E70">
        <w:rPr>
          <w:rFonts w:ascii="Times New Roman" w:hAnsi="Times New Roman" w:cs="Times New Roman"/>
          <w:sz w:val="28"/>
          <w:szCs w:val="28"/>
        </w:rPr>
        <w:t xml:space="preserve"> с онкологическими заболеваниями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5E70">
        <w:rPr>
          <w:rFonts w:ascii="Times New Roman" w:hAnsi="Times New Roman" w:cs="Times New Roman"/>
          <w:sz w:val="28"/>
          <w:szCs w:val="28"/>
        </w:rPr>
        <w:t xml:space="preserve"> </w:t>
      </w:r>
      <w:r w:rsidR="00193C4E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C25E70">
        <w:rPr>
          <w:rFonts w:ascii="Times New Roman" w:hAnsi="Times New Roman" w:cs="Times New Roman"/>
          <w:sz w:val="28"/>
          <w:szCs w:val="28"/>
        </w:rPr>
        <w:t xml:space="preserve">10 основных показателей, из которых для системы ОМС </w:t>
      </w:r>
      <w:r w:rsidR="00193C4E">
        <w:rPr>
          <w:rFonts w:ascii="Times New Roman" w:hAnsi="Times New Roman" w:cs="Times New Roman"/>
          <w:sz w:val="28"/>
          <w:szCs w:val="28"/>
        </w:rPr>
        <w:t>приоритетное значение имеет</w:t>
      </w:r>
      <w:r w:rsidRPr="00C25E70">
        <w:rPr>
          <w:rFonts w:ascii="Times New Roman" w:hAnsi="Times New Roman" w:cs="Times New Roman"/>
          <w:sz w:val="28"/>
          <w:szCs w:val="28"/>
        </w:rPr>
        <w:t xml:space="preserve"> финансовое обеспечение оказания медицинской помощи в соответствии с клиническими рекомендациями. </w:t>
      </w:r>
      <w:r w:rsidR="00193C4E">
        <w:rPr>
          <w:rFonts w:ascii="Times New Roman" w:hAnsi="Times New Roman" w:cs="Times New Roman"/>
          <w:sz w:val="28"/>
          <w:szCs w:val="28"/>
        </w:rPr>
        <w:t>Н</w:t>
      </w:r>
      <w:r w:rsidRPr="00C25E70">
        <w:rPr>
          <w:rFonts w:ascii="Times New Roman" w:hAnsi="Times New Roman" w:cs="Times New Roman"/>
          <w:sz w:val="28"/>
          <w:szCs w:val="28"/>
        </w:rPr>
        <w:t xml:space="preserve">орматив </w:t>
      </w:r>
      <w:r w:rsidR="00193C4E">
        <w:rPr>
          <w:rFonts w:ascii="Times New Roman" w:hAnsi="Times New Roman" w:cs="Times New Roman"/>
          <w:sz w:val="28"/>
          <w:szCs w:val="28"/>
        </w:rPr>
        <w:t xml:space="preserve">финансовых затрат </w:t>
      </w:r>
      <w:r w:rsidRPr="00C25E70">
        <w:rPr>
          <w:rFonts w:ascii="Times New Roman" w:hAnsi="Times New Roman" w:cs="Times New Roman"/>
          <w:sz w:val="28"/>
          <w:szCs w:val="28"/>
        </w:rPr>
        <w:t>на оказание онкологической помощи</w:t>
      </w:r>
      <w:r w:rsidR="00193C4E">
        <w:rPr>
          <w:rFonts w:ascii="Times New Roman" w:hAnsi="Times New Roman" w:cs="Times New Roman"/>
          <w:sz w:val="28"/>
          <w:szCs w:val="28"/>
        </w:rPr>
        <w:t>, установленный программой государственных гарантий,</w:t>
      </w:r>
      <w:r w:rsidRPr="00C25E70">
        <w:rPr>
          <w:rFonts w:ascii="Times New Roman" w:hAnsi="Times New Roman" w:cs="Times New Roman"/>
          <w:sz w:val="28"/>
          <w:szCs w:val="28"/>
        </w:rPr>
        <w:t xml:space="preserve"> ежегодно увеличивается и в 2021 году составил 6420 руб. </w:t>
      </w:r>
      <w:r w:rsidR="00193C4E">
        <w:rPr>
          <w:rFonts w:ascii="Times New Roman" w:hAnsi="Times New Roman" w:cs="Times New Roman"/>
          <w:sz w:val="28"/>
          <w:szCs w:val="28"/>
        </w:rPr>
        <w:t>Размер ф</w:t>
      </w:r>
      <w:r w:rsidRPr="00C25E70">
        <w:rPr>
          <w:rFonts w:ascii="Times New Roman" w:hAnsi="Times New Roman" w:cs="Times New Roman"/>
          <w:sz w:val="28"/>
          <w:szCs w:val="28"/>
        </w:rPr>
        <w:t>инансово</w:t>
      </w:r>
      <w:r w:rsidR="00193C4E">
        <w:rPr>
          <w:rFonts w:ascii="Times New Roman" w:hAnsi="Times New Roman" w:cs="Times New Roman"/>
          <w:sz w:val="28"/>
          <w:szCs w:val="28"/>
        </w:rPr>
        <w:t>го</w:t>
      </w:r>
      <w:r w:rsidRPr="00C25E7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93C4E">
        <w:rPr>
          <w:rFonts w:ascii="Times New Roman" w:hAnsi="Times New Roman" w:cs="Times New Roman"/>
          <w:sz w:val="28"/>
          <w:szCs w:val="28"/>
        </w:rPr>
        <w:t>я</w:t>
      </w:r>
      <w:r w:rsidRPr="00C25E70">
        <w:rPr>
          <w:rFonts w:ascii="Times New Roman" w:hAnsi="Times New Roman" w:cs="Times New Roman"/>
          <w:sz w:val="28"/>
          <w:szCs w:val="28"/>
        </w:rPr>
        <w:t xml:space="preserve"> онкологической помощи в </w:t>
      </w:r>
      <w:r w:rsidR="00193C4E">
        <w:rPr>
          <w:rFonts w:ascii="Times New Roman" w:hAnsi="Times New Roman" w:cs="Times New Roman"/>
          <w:sz w:val="28"/>
          <w:szCs w:val="28"/>
        </w:rPr>
        <w:t>Российской Федерации в 2021 году составил 271,3 млрд. рублей</w:t>
      </w:r>
      <w:r w:rsidRPr="00C25E70">
        <w:rPr>
          <w:rFonts w:ascii="Times New Roman" w:hAnsi="Times New Roman" w:cs="Times New Roman"/>
          <w:sz w:val="28"/>
          <w:szCs w:val="28"/>
        </w:rPr>
        <w:t>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>В Челябинской области объемы выполнения медицинской помощи по профилю «онкология» в дневном стационаре составили 142 % при выполнении стоимости 1 случая на 88 % и финансирования на 122 %. В круглосуточном стационаре выполнение объёмов составило 104 % при стоимости случая 69 % и финансировании 73 %.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>Анализ распределени</w:t>
      </w:r>
      <w:r w:rsidR="00166E03">
        <w:rPr>
          <w:rFonts w:ascii="Times New Roman" w:hAnsi="Times New Roman" w:cs="Times New Roman"/>
          <w:sz w:val="28"/>
          <w:szCs w:val="28"/>
        </w:rPr>
        <w:t>я</w:t>
      </w:r>
      <w:r w:rsidRPr="00C25E70">
        <w:rPr>
          <w:rFonts w:ascii="Times New Roman" w:hAnsi="Times New Roman" w:cs="Times New Roman"/>
          <w:sz w:val="28"/>
          <w:szCs w:val="28"/>
        </w:rPr>
        <w:t xml:space="preserve"> объемов медицинской помощи по дневным стационарам показал тенденцию </w:t>
      </w:r>
      <w:r w:rsidR="00166E03">
        <w:rPr>
          <w:rFonts w:ascii="Times New Roman" w:hAnsi="Times New Roman" w:cs="Times New Roman"/>
          <w:sz w:val="28"/>
          <w:szCs w:val="28"/>
        </w:rPr>
        <w:t xml:space="preserve">к </w:t>
      </w:r>
      <w:r w:rsidRPr="00C25E70">
        <w:rPr>
          <w:rFonts w:ascii="Times New Roman" w:hAnsi="Times New Roman" w:cs="Times New Roman"/>
          <w:sz w:val="28"/>
          <w:szCs w:val="28"/>
        </w:rPr>
        <w:t>увеличени</w:t>
      </w:r>
      <w:r w:rsidR="00166E03">
        <w:rPr>
          <w:rFonts w:ascii="Times New Roman" w:hAnsi="Times New Roman" w:cs="Times New Roman"/>
          <w:sz w:val="28"/>
          <w:szCs w:val="28"/>
        </w:rPr>
        <w:t>ю доли</w:t>
      </w:r>
      <w:r w:rsidRPr="00C25E70">
        <w:rPr>
          <w:rFonts w:ascii="Times New Roman" w:hAnsi="Times New Roman" w:cs="Times New Roman"/>
          <w:sz w:val="28"/>
          <w:szCs w:val="28"/>
        </w:rPr>
        <w:t xml:space="preserve"> хирургического лечения, сочетания лекарственной терапии и лучевой терапии при незначительном снижении других видов лечения. В круглосуточных стационарах </w:t>
      </w:r>
      <w:r w:rsidR="00166E0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C25E70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166E03">
        <w:rPr>
          <w:rFonts w:ascii="Times New Roman" w:hAnsi="Times New Roman" w:cs="Times New Roman"/>
          <w:sz w:val="28"/>
          <w:szCs w:val="28"/>
        </w:rPr>
        <w:t>рост объемов</w:t>
      </w:r>
      <w:r w:rsidRPr="00C25E70">
        <w:rPr>
          <w:rFonts w:ascii="Times New Roman" w:hAnsi="Times New Roman" w:cs="Times New Roman"/>
          <w:sz w:val="28"/>
          <w:szCs w:val="28"/>
        </w:rPr>
        <w:t xml:space="preserve"> хирургического лечения.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>В 2021 году существенно увеличилась доля случаев с применением схем лечения: в ДС схемы 8-13 уровня выросли с 8 % в 2020 году до 30 % в 2021 году. В КС произошло существенное увеличение использования схем 4-7 уровней с 11% до 36 %.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>При анализе структуры применяемых химиотерапевтических сре</w:t>
      </w:r>
      <w:proofErr w:type="gramStart"/>
      <w:r w:rsidRPr="00C25E70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Pr="00C25E70">
        <w:rPr>
          <w:rFonts w:ascii="Times New Roman" w:hAnsi="Times New Roman" w:cs="Times New Roman"/>
          <w:sz w:val="28"/>
          <w:szCs w:val="28"/>
        </w:rPr>
        <w:t>углосуточных стационарах заметно преимущественное применение паллиативных схем. Челябинская область по этому показателю приближается к 100 %. В 2021 году количество хирургических операций при ЗНО увеличилось по сравнению с 2020 годом на 15 %, но не достигло уровня 2018-2019 годов. В лидерах – операции на молочной железе, кишечнике, почке и мочевыделительной системе, коже и подкожной клетчатке – в среднем они составляют по 14 % от общего объема вмешательств.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>Объемы оказания лучевой терапии пациентам с ЗНО в дневных стационарах существенно не меняются и составляют в среднем 1900 случаев. В КС, наоборот, наблюдается снижение количества случаев оказания лучевой терапии.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 xml:space="preserve">Существенный вклад в развитие онкологической помощи </w:t>
      </w:r>
      <w:r w:rsidR="00166E03">
        <w:rPr>
          <w:rFonts w:ascii="Times New Roman" w:hAnsi="Times New Roman" w:cs="Times New Roman"/>
          <w:sz w:val="28"/>
          <w:szCs w:val="28"/>
        </w:rPr>
        <w:t xml:space="preserve">в </w:t>
      </w:r>
      <w:r w:rsidRPr="00C25E70">
        <w:rPr>
          <w:rFonts w:ascii="Times New Roman" w:hAnsi="Times New Roman" w:cs="Times New Roman"/>
          <w:sz w:val="28"/>
          <w:szCs w:val="28"/>
        </w:rPr>
        <w:t>Челябинской области внесло открытие центров амбулаторной онкологической помощи (ЦАОП). Согласно приказу Министерства здравоохранения Челябинской области от 27.01.2020 г. № 65, в течение 2020-2022 годов на территории региона  было открыто 10 центров амбулаторной онкологической помощи.</w:t>
      </w:r>
      <w:r w:rsidR="00166E03">
        <w:rPr>
          <w:rFonts w:ascii="Times New Roman" w:hAnsi="Times New Roman" w:cs="Times New Roman"/>
          <w:sz w:val="28"/>
          <w:szCs w:val="28"/>
        </w:rPr>
        <w:t xml:space="preserve"> </w:t>
      </w:r>
      <w:r w:rsidRPr="00C25E70">
        <w:rPr>
          <w:rFonts w:ascii="Times New Roman" w:hAnsi="Times New Roman" w:cs="Times New Roman"/>
          <w:sz w:val="28"/>
          <w:szCs w:val="28"/>
        </w:rPr>
        <w:t xml:space="preserve">Количество посещений в </w:t>
      </w:r>
      <w:proofErr w:type="spellStart"/>
      <w:r w:rsidRPr="00C25E70">
        <w:rPr>
          <w:rFonts w:ascii="Times New Roman" w:hAnsi="Times New Roman" w:cs="Times New Roman"/>
          <w:sz w:val="28"/>
          <w:szCs w:val="28"/>
        </w:rPr>
        <w:t>ЦАОПах</w:t>
      </w:r>
      <w:proofErr w:type="spellEnd"/>
      <w:r w:rsidRPr="00C25E70">
        <w:rPr>
          <w:rFonts w:ascii="Times New Roman" w:hAnsi="Times New Roman" w:cs="Times New Roman"/>
          <w:sz w:val="28"/>
          <w:szCs w:val="28"/>
        </w:rPr>
        <w:t xml:space="preserve"> увеличивается по мере открытия новых центров: в 2020 году - 15,4 тысяч, в 2021 году – уже 58,5 тыс. посещений. Объемы проводимых исследований в 2021 году также выросли по сравнению с 2020 годом и составили 51,6 тысяч. В 2021 году специалистами центров было выявлено 2 274 случая онкологических заболеваний, </w:t>
      </w:r>
      <w:r w:rsidRPr="00C25E70">
        <w:rPr>
          <w:rFonts w:ascii="Times New Roman" w:hAnsi="Times New Roman" w:cs="Times New Roman"/>
          <w:sz w:val="28"/>
          <w:szCs w:val="28"/>
        </w:rPr>
        <w:lastRenderedPageBreak/>
        <w:t>что составляет 16 % от общего числа впервые взятых на учет пациентов с ЗНО. Объемы оказания медицинской помощи в дневных стационарах ЦАОП выросли с 1,9 тыс. пациентов в 2020 году до 11,4 тыс. в 2021 году.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работы фонда и страховых компаний является проведение экспертного контроля. Ежегодно увеличиваются объемы проводимых экспертиз по профилю «онкология»</w:t>
      </w:r>
      <w:r w:rsidR="00444C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лет они выросли в 2 раза и составили в 2021 году 127 тыс. экспертиз. Пропорционально увеличивается и размер финансовых санкций. Тенденцией последних лет является снижение доли нарушений в расчете на 100 экспертиз, как по МЭЭ, так и по ЭКМП.</w:t>
      </w:r>
    </w:p>
    <w:p w:rsidR="00C25E70" w:rsidRPr="00C25E70" w:rsidRDefault="00C25E70" w:rsidP="00C25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ЭКМП в 2021 году 61 % дефектов </w:t>
      </w:r>
      <w:proofErr w:type="gramStart"/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неисполнением стандартов и порядков медицинской помощи, не повлиявших на состояние здоровья застрахованного лица. Далее идут дефекты оформления мед</w:t>
      </w:r>
      <w:proofErr w:type="gramStart"/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25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окументации – 15 %, неисполнение стандартов и порядков медицинской помощи, приведшее к ухудшению – 5 % и отсутствие информированного добровольного согласия – 0,1 %.</w:t>
      </w:r>
    </w:p>
    <w:p w:rsidR="00C25E70" w:rsidRPr="00C25E70" w:rsidRDefault="00C25E70" w:rsidP="00A24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E70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деятельности медицинских организаций, на федеральном уровне внедрена методика оценки показателей результативности деятельности медучреждений, участвующих в оказании первичной медико-санитарной помощи, при оплате медицинской помощи по </w:t>
      </w:r>
      <w:proofErr w:type="spellStart"/>
      <w:r w:rsidRPr="00C25E70">
        <w:rPr>
          <w:rFonts w:ascii="Times New Roman" w:hAnsi="Times New Roman" w:cs="Times New Roman"/>
          <w:sz w:val="28"/>
          <w:szCs w:val="28"/>
        </w:rPr>
        <w:t>подушевому</w:t>
      </w:r>
      <w:proofErr w:type="spellEnd"/>
      <w:r w:rsidRPr="00C25E70">
        <w:rPr>
          <w:rFonts w:ascii="Times New Roman" w:hAnsi="Times New Roman" w:cs="Times New Roman"/>
          <w:sz w:val="28"/>
          <w:szCs w:val="28"/>
        </w:rPr>
        <w:t xml:space="preserve"> нормативу финансирования. Всего разработано 28 показателей, которые сгруппированы по 3 категориям: результативность оказания медицинской помощи взрослом</w:t>
      </w:r>
      <w:r w:rsidR="00A24848">
        <w:rPr>
          <w:rFonts w:ascii="Times New Roman" w:hAnsi="Times New Roman" w:cs="Times New Roman"/>
          <w:sz w:val="28"/>
          <w:szCs w:val="28"/>
        </w:rPr>
        <w:t>у населению, детскому населению</w:t>
      </w:r>
      <w:r w:rsidRPr="00C25E70">
        <w:rPr>
          <w:rFonts w:ascii="Times New Roman" w:hAnsi="Times New Roman" w:cs="Times New Roman"/>
          <w:sz w:val="28"/>
          <w:szCs w:val="28"/>
        </w:rPr>
        <w:t xml:space="preserve"> и  женщинам при оказании акушерско-гинекологической помощи. С 2022 года в Тарифное соглашение в сфере обязательного медицинского страхования Челябинской области от 30.12.2021г.                № 194-ОМС включены все 28 показателей результативности медицинских организаций.</w:t>
      </w:r>
    </w:p>
    <w:sectPr w:rsidR="00C25E70" w:rsidRPr="00C25E70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5E70"/>
    <w:rsid w:val="00061E84"/>
    <w:rsid w:val="00166E03"/>
    <w:rsid w:val="00193C4E"/>
    <w:rsid w:val="001D647B"/>
    <w:rsid w:val="002C500C"/>
    <w:rsid w:val="00444C82"/>
    <w:rsid w:val="005D6832"/>
    <w:rsid w:val="006D419F"/>
    <w:rsid w:val="007A37A5"/>
    <w:rsid w:val="00994A95"/>
    <w:rsid w:val="00A24848"/>
    <w:rsid w:val="00C25E70"/>
    <w:rsid w:val="00C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7</cp:revision>
  <dcterms:created xsi:type="dcterms:W3CDTF">2022-11-30T04:16:00Z</dcterms:created>
  <dcterms:modified xsi:type="dcterms:W3CDTF">2022-12-20T11:35:00Z</dcterms:modified>
</cp:coreProperties>
</file>